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F787C" w14:textId="7D99322A" w:rsidR="007D4D07" w:rsidRPr="0013044C" w:rsidRDefault="007D4D07" w:rsidP="007D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</w:t>
      </w:r>
      <w:proofErr w:type="spellEnd"/>
      <w:r w:rsidR="00557F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жартыжылдығы</w:t>
      </w:r>
      <w:r w:rsidR="00557F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реттеліп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көрсетілетін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қызметтерді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ұсыну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жөніндегі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қызметтің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қорытындылары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туралы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тұтынушылар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өзге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мүдделі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тұлғалар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алдындағы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 арналған шұғыл </w:t>
      </w:r>
      <w:proofErr w:type="spellStart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ақпарат</w:t>
      </w:r>
      <w:proofErr w:type="spellEnd"/>
      <w:r w:rsidRP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9FE1B6B" w14:textId="77777777" w:rsidR="007D4D07" w:rsidRPr="0013044C" w:rsidRDefault="007D4D07" w:rsidP="007D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B00AC" w14:textId="47A6DD3D" w:rsidR="007D4D07" w:rsidRDefault="007D4D07" w:rsidP="007D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инистрінің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абиғи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қағидаларын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тамыздағы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бұйрығына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Өскемен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үйе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АҚ-ы</w:t>
      </w:r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Сіздердің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назарларыңызға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жыл</w:t>
      </w:r>
      <w:proofErr w:type="spellEnd"/>
      <w:r w:rsidR="00557F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дың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D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жартыжылдығы</w:t>
      </w:r>
      <w:r w:rsidR="00557F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реттеліп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қызметтерді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тұтынушылар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мүдделі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алдындағы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130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00C982" w14:textId="77777777" w:rsidR="007D4D07" w:rsidRDefault="007D4D07" w:rsidP="007D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1CC8A" w14:textId="1E4EE7C4" w:rsidR="00855EDA" w:rsidRPr="00881EB8" w:rsidRDefault="00855EDA" w:rsidP="0088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45F6A" w:rsidRPr="004A1A9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Инвестициялық бағдарламалардың орындалуы туралы.</w:t>
      </w: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D07" w:rsidRPr="007D4D07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3215,03 </w:t>
      </w:r>
      <w:proofErr w:type="spellStart"/>
      <w:proofErr w:type="gramStart"/>
      <w:r w:rsidR="007D4D07" w:rsidRPr="007D4D07">
        <w:rPr>
          <w:rFonts w:ascii="Times New Roman" w:hAnsi="Times New Roman" w:cs="Times New Roman"/>
          <w:sz w:val="28"/>
          <w:szCs w:val="28"/>
        </w:rPr>
        <w:t>млн.теңге</w:t>
      </w:r>
      <w:proofErr w:type="spellEnd"/>
      <w:proofErr w:type="gram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Еуропалық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банкі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(ЕҚДБ)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қаржыландыратын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="00245F6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D4D07" w:rsidRPr="007D4D07">
        <w:rPr>
          <w:rFonts w:ascii="Times New Roman" w:hAnsi="Times New Roman" w:cs="Times New Roman"/>
          <w:sz w:val="28"/>
          <w:szCs w:val="28"/>
        </w:rPr>
        <w:t xml:space="preserve">мен-2136,5 млн.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="00245F6A" w:rsidRPr="0024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F6A" w:rsidRPr="007D4D07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, 1078,5 млн.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- "ӨЖЖ" АҚ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Өскемен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жылумен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>"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07" w:rsidRPr="007D4D0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7D4D07" w:rsidRPr="007D4D07">
        <w:rPr>
          <w:rFonts w:ascii="Times New Roman" w:hAnsi="Times New Roman" w:cs="Times New Roman"/>
          <w:sz w:val="28"/>
          <w:szCs w:val="28"/>
        </w:rPr>
        <w:t>.</w:t>
      </w:r>
      <w:r w:rsidR="007D4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245F6A" w:rsidRPr="00245F6A">
        <w:rPr>
          <w:rFonts w:ascii="Times New Roman" w:hAnsi="Times New Roman" w:cs="Times New Roman"/>
          <w:sz w:val="28"/>
          <w:szCs w:val="28"/>
          <w:lang w:val="kk-KZ"/>
        </w:rPr>
        <w:t>1 жартыжылдықта орындау сомасы 445,8 млн. теңгені құрады. Сондай-ақ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5F6A" w:rsidRPr="00245F6A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6 айында 32 млн.теңге сомасына 37,6 млн. теңгеден 2020 жылғы инвестициялық бағдарламаның іс-шаралары орындалды, олар бойынша орындау мерзімі 2020 жылдан 2021 жылға ауыстырылды. Жұмыстар орындалу кестесіне сәйкес жүргізіледі, сондықтан қорытынды нәтижені жылдық кезең аяқталғаннан кейін ғана бағалауға болады.</w:t>
      </w:r>
      <w:r w:rsidR="00245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87D6C2B" w14:textId="60532A2B" w:rsidR="00245F6A" w:rsidRPr="00245F6A" w:rsidRDefault="00855EDA" w:rsidP="0088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45F6A" w:rsidRPr="00245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ӨЖЖ" АҚ-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ның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жылдың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жартыжылдығындағы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қызметінің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негізгі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қаржы-экономикалық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көрсеткіштері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="00245F6A" w:rsidRPr="0024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айдағы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жиынтық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аудиттелмеген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сепке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жиынтық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4838,5 </w:t>
      </w:r>
      <w:proofErr w:type="spellStart"/>
      <w:proofErr w:type="gram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млн.теңгені</w:t>
      </w:r>
      <w:proofErr w:type="spellEnd"/>
      <w:proofErr w:type="gram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құрады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КТС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ескерілген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4635,3 млн.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теңгені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құрады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Нәтижесінде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салынғаннан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кәсіпорынның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пайдасы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203,17 млн.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теңгені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құрады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Кәсіпорын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қызметі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маусымдық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сипатқа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тиісінше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аяқталғаннан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F6A" w:rsidRP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</w:t>
      </w:r>
      <w:proofErr w:type="spellEnd"/>
      <w:r w:rsidR="00245F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ілуі тиіс. </w:t>
      </w:r>
    </w:p>
    <w:p w14:paraId="509900EB" w14:textId="77777777" w:rsidR="00A548FF" w:rsidRPr="00A548FF" w:rsidRDefault="00855EDA" w:rsidP="00881EB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8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жылдың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жартыжылдығында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реттеліп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қызметтердің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көлемі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="00B37E6D" w:rsidRPr="00A54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кезеңде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1181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мың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Гкал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энергиясы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сатылды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Реттелетін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сапамен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орындалды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жүйесіне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кестеге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>етілді</w:t>
      </w:r>
      <w:proofErr w:type="spellEnd"/>
      <w:r w:rsidR="00B37E6D"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E3693DE" w14:textId="32B794C4" w:rsidR="00B37E6D" w:rsidRPr="00A548FF" w:rsidRDefault="00B37E6D" w:rsidP="00881EB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жартыжылдығында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141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>нысанға</w:t>
      </w:r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>қайта құрудан</w:t>
      </w:r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нысандарға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құрылысқа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шарттар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Барлығы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3,8 Гкал/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сағ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жүктемесімен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8F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іске </w:t>
      </w:r>
      <w:proofErr w:type="spellStart"/>
      <w:r w:rsidRPr="00A548FF">
        <w:rPr>
          <w:rFonts w:ascii="Times New Roman" w:hAnsi="Times New Roman" w:cs="Times New Roman"/>
          <w:sz w:val="28"/>
          <w:szCs w:val="28"/>
          <w:lang w:eastAsia="ru-RU"/>
        </w:rPr>
        <w:t>қосылды</w:t>
      </w:r>
      <w:proofErr w:type="spellEnd"/>
      <w:r w:rsidRPr="00A54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C1ED78" w14:textId="700D37C6" w:rsidR="00B5416F" w:rsidRPr="00B5416F" w:rsidRDefault="00855EDA" w:rsidP="00881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5416F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Реттеліп көрсетілетін қызметтерді тұтынушылармен жүргізілетін жұмыс туралы.</w:t>
      </w:r>
      <w:r w:rsidR="00B5416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жылдың 1 жартыжылдығында дербес қызмет көрсету орталығына 11 308 өтініш келіп түсті (айына 7 000-ға жуық өтініш). Сонымен қатар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"Ө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ЖЖ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" 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Call-орталығы 200 128 қоңырау қабылдады. Тәулік бойы автоматты жауап беру құрылғысына есептеу құралдарының 28 465 көрсеткіші қабылданды. Ақпараттық 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мәліметтер қорында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электрондық адресі бар 12 997 тұтынушы тіркел</w:t>
      </w:r>
      <w:r w:rsid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="00B5416F" w:rsidRPr="00B54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Кәсіпорын атына қызметкерлердің жұмыс сапасына 13 алғыс хат келіп түсті.</w:t>
      </w:r>
    </w:p>
    <w:p w14:paraId="48C38AC4" w14:textId="77777777" w:rsidR="00B5416F" w:rsidRDefault="00B5416F" w:rsidP="008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Нысандарды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>жылумен жабдықтау сапасына тұтынушылардан 35 өтініш келіп түсті, олар жедел пысықталды. Өтініштердің себептері "ӨЖЖ"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>АҚ пайдалану жауапкершілігін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тыс </w:t>
      </w:r>
      <w:r>
        <w:rPr>
          <w:rFonts w:ascii="Times New Roman" w:hAnsi="Times New Roman" w:cs="Times New Roman"/>
          <w:sz w:val="28"/>
          <w:szCs w:val="28"/>
          <w:lang w:val="kk-KZ"/>
        </w:rPr>
        <w:t>сұрақтарға жатады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. Жылумен жабдықтау сапасына тұтынушыларды жылу желілерінің және жылу жүйесінің ішкі желілерінің келісілген жобалық құжаттамаларынсыз орталықтандырылған жылумен жабдықтауға қосу фактілері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әсер етеді. </w:t>
      </w:r>
    </w:p>
    <w:p w14:paraId="4BC1B30D" w14:textId="6C12A9B8" w:rsidR="00B5416F" w:rsidRPr="00B5416F" w:rsidRDefault="00B5416F" w:rsidP="0088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Жылыту маусымына дайындық бойынша </w:t>
      </w:r>
      <w:r w:rsidR="008B169B">
        <w:rPr>
          <w:rFonts w:ascii="Times New Roman" w:hAnsi="Times New Roman" w:cs="Times New Roman"/>
          <w:sz w:val="28"/>
          <w:szCs w:val="28"/>
          <w:lang w:val="kk-KZ"/>
        </w:rPr>
        <w:t>көкейкесті мәселелері</w:t>
      </w:r>
      <w:r w:rsidRPr="00B5416F">
        <w:rPr>
          <w:rFonts w:ascii="Times New Roman" w:hAnsi="Times New Roman" w:cs="Times New Roman"/>
          <w:sz w:val="28"/>
          <w:szCs w:val="28"/>
          <w:lang w:val="kk-KZ"/>
        </w:rPr>
        <w:t xml:space="preserve"> бар нысандарға көшпелі кеңестер үнемі өткізіліп тұрады.</w:t>
      </w:r>
    </w:p>
    <w:p w14:paraId="5F126285" w14:textId="77777777" w:rsidR="00BF3EFD" w:rsidRDefault="00855EDA" w:rsidP="0088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F3E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</w:t>
      </w:r>
      <w:r w:rsidR="00BF3EFD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Бекітілген тарифтік сметаның баптар</w:t>
      </w:r>
      <w:r w:rsidR="00BF3E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 бойынша </w:t>
      </w:r>
      <w:r w:rsidR="00BF3EFD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орындалуы туралы. </w:t>
      </w:r>
    </w:p>
    <w:p w14:paraId="2A743EB2" w14:textId="43E0E5D9" w:rsidR="00BF3EFD" w:rsidRPr="00BF3EFD" w:rsidRDefault="00BF3EFD" w:rsidP="0088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F3EFD">
        <w:rPr>
          <w:rFonts w:ascii="Times New Roman" w:hAnsi="Times New Roman" w:cs="Times New Roman"/>
          <w:sz w:val="28"/>
          <w:szCs w:val="28"/>
          <w:lang w:val="kk-KZ"/>
        </w:rPr>
        <w:t>"ӨЖЖ" АҚ</w:t>
      </w:r>
      <w:r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1.02.2021 жылдан бастап қолданыстағы жылу энергиясын өндіруге, беруге және таратуға, қамтамасыз етуге арналған тарифтік смета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ШҚО бойынша ТМРКД-ның 2021 жылғы 26 қаңтардағы № 13-НҚ бұйрығымен бекітілген. 2021 жылғы 1-31 қаңтар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ШҚО бойынша ТМРБД 22.12.2020 ж. № 191-НҚ бұйрығымен бекітілген тарифтік смета әрекет етті.</w:t>
      </w:r>
    </w:p>
    <w:p w14:paraId="74A174EA" w14:textId="070D66C1" w:rsidR="00A1444D" w:rsidRPr="00BF3EFD" w:rsidRDefault="00BF3EFD" w:rsidP="008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3EFD">
        <w:rPr>
          <w:rFonts w:ascii="Times New Roman" w:hAnsi="Times New Roman" w:cs="Times New Roman"/>
          <w:sz w:val="28"/>
          <w:szCs w:val="28"/>
          <w:lang w:val="kk-KZ"/>
        </w:rPr>
        <w:t>Жылумен жабдықтаушы кәсіпорындар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қызметі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 маусымдық жұмыс сипатына ие,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тарифтік сметаның орындалуын жыл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бағалау 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 xml:space="preserve">неғұрлым тиімді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Pr="00BF3EFD">
        <w:rPr>
          <w:rFonts w:ascii="Times New Roman" w:hAnsi="Times New Roman" w:cs="Times New Roman"/>
          <w:sz w:val="28"/>
          <w:szCs w:val="28"/>
          <w:lang w:val="kk-KZ"/>
        </w:rPr>
        <w:t>. Қазіргі уақытта барлық жұмыстар мен қызметтер Мемлекеттік сатып алуды өткізу нәтижесінде таңдалған мердігерлердің жұмыстарды орындау кестесіне сәйкес жүзеге асырылады.</w:t>
      </w:r>
    </w:p>
    <w:p w14:paraId="44E696A0" w14:textId="00F9B65C" w:rsidR="00BA590C" w:rsidRPr="00BA590C" w:rsidRDefault="00BA590C" w:rsidP="0088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Тұтынушыларды жылумен жабдықтау бойынша қызметтер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көрсетуге арналған жедел шығындар қаңтар айында 1022,2 млн.теңгені, 5 айда (ақпан-маусым) 3 650,9 млн. теңгені құрады. Сметаның бірде-бір бабы бойынша жылдық сомадан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асу болған 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жоқ. Бірақ қазірдің өзінде шығындардың жекелеген баптары - ЖЖМ, көмір, электр энергиясы бойынша шығындардың өсуі байқалады, бұл бекіту кезінде смета бойынша шығындардың тапшылығына байланысты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табылады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Осылайша, көмір қайта қабылданған АЭЧ Ахмер қазандығының өндірісін ескеретін толық көлемде бекітіл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 жоқ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электр энергиясы бойынша шығындарда 2021 жылғы наурыздан бастап ЭЖҰ тарифінің айтарлықтай өсуі ескеріл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 жоқ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Сондай-ақ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BA59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көлікпен қызмет көрсету көлемінің артуы және ЖЖМ бағасының өсуі ескерілмеді. Бұдан басқа, мүлік салығы қолданыстағы заңнамаға сәйкес 5 жылда кемінде 1 рет жүргізілетін жаңа активтер мен қайта бағалау нәтижелерін енгізуді есепке алмай бекітілді.</w:t>
      </w:r>
    </w:p>
    <w:p w14:paraId="5BE622BA" w14:textId="73791893" w:rsidR="00A1444D" w:rsidRPr="007E42E2" w:rsidRDefault="007E42E2" w:rsidP="008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2E2">
        <w:rPr>
          <w:rFonts w:ascii="Times New Roman" w:hAnsi="Times New Roman" w:cs="Times New Roman"/>
          <w:sz w:val="28"/>
          <w:szCs w:val="28"/>
          <w:lang w:val="kk-KZ"/>
        </w:rPr>
        <w:t>"ӨЖЖ" АҚ үшін 2021 жылға арналған сапа, сенімділік және тиімділік көрсеткіштері бекітіл</w:t>
      </w:r>
      <w:r>
        <w:rPr>
          <w:rFonts w:ascii="Times New Roman" w:hAnsi="Times New Roman" w:cs="Times New Roman"/>
          <w:sz w:val="28"/>
          <w:szCs w:val="28"/>
          <w:lang w:val="kk-KZ"/>
        </w:rPr>
        <w:t>ген жоқ</w:t>
      </w:r>
      <w:r w:rsidRPr="007E42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611F5A" w14:textId="77777777" w:rsidR="00ED1F0C" w:rsidRDefault="00855EDA" w:rsidP="0088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42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6. </w:t>
      </w:r>
      <w:r w:rsidR="007E42E2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Қызметтің </w:t>
      </w:r>
      <w:r w:rsidR="007E42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болашағы</w:t>
      </w:r>
      <w:r w:rsidR="007E42E2" w:rsidRPr="000501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оның ішінде реттеліп көрсетілетін қызметтерге арналған тарифтердің ықтимал өзгерістері туралы.</w:t>
      </w:r>
      <w:r w:rsidR="007E42E2" w:rsidRPr="000501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084E2B11" w14:textId="77777777" w:rsidR="00ED1F0C" w:rsidRPr="00ED1F0C" w:rsidRDefault="00ED1F0C" w:rsidP="008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F0C">
        <w:rPr>
          <w:rFonts w:ascii="Times New Roman" w:hAnsi="Times New Roman" w:cs="Times New Roman"/>
          <w:sz w:val="28"/>
          <w:szCs w:val="28"/>
          <w:lang w:val="kk-KZ"/>
        </w:rPr>
        <w:t>"ӨЖЖ" АҚ-ның 2021 жылдың екінші жартыжылдығына арналған жоспарында бекітілген инвестициялық бағдарламаның іс-шараларын және жөндеу жұмыстарының кестелерін орындау көзделген. Қажет болған жағдайда-тарифтік сметаға және инвестициялық бағдарламаға түзету жүргізу жоспарлануда. Сондай - ақ, жыл соңына дейін қызмет көрсету сапасын жақсарту бойынша бірқатар іс - шараларды енгізу жоспарғаалынып отыр: WhatsApp чат-боты және Telegram-бот - жеке тұлғаларға арналған қолданыстағы цифрл</w:t>
      </w:r>
      <w:bookmarkStart w:id="0" w:name="_GoBack"/>
      <w:bookmarkEnd w:id="0"/>
      <w:r w:rsidRPr="00ED1F0C">
        <w:rPr>
          <w:rFonts w:ascii="Times New Roman" w:hAnsi="Times New Roman" w:cs="Times New Roman"/>
          <w:sz w:val="28"/>
          <w:szCs w:val="28"/>
          <w:lang w:val="kk-KZ"/>
        </w:rPr>
        <w:t xml:space="preserve">ық сервистерді жақсарту, Өскемен көшесі, 14а мекен-жайында орналасқан Жаңа Согра кентінде тұрақты қызмет көрсету нүктесін ұйымдастыру. Және 2021-2022 жж. жылу маусымына әзірлік паспортын алу. </w:t>
      </w:r>
    </w:p>
    <w:p w14:paraId="00E3D878" w14:textId="239EF43E" w:rsidR="00ED1F0C" w:rsidRPr="00ED1F0C" w:rsidRDefault="00ED1F0C" w:rsidP="0088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F0C">
        <w:rPr>
          <w:rFonts w:ascii="Times New Roman" w:hAnsi="Times New Roman" w:cs="Times New Roman"/>
          <w:sz w:val="28"/>
          <w:szCs w:val="28"/>
          <w:lang w:val="kk-KZ"/>
        </w:rPr>
        <w:t>2021 жылдың соңына дейін тарифтердің өзгеруі көзделмейді.</w:t>
      </w:r>
    </w:p>
    <w:p w14:paraId="753BE732" w14:textId="240CA9CB" w:rsidR="00ED1F0C" w:rsidRPr="00ED1F0C" w:rsidRDefault="00ED1F0C" w:rsidP="007E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1F0C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Сондай-ақ, екінші жартыжылдықта 2022-2026 жылдарға арналған даму жоспарын бекіту жоспарлануда.</w:t>
      </w:r>
    </w:p>
    <w:sectPr w:rsidR="00ED1F0C" w:rsidRPr="00ED1F0C" w:rsidSect="00F2371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A"/>
    <w:rsid w:val="00004DBE"/>
    <w:rsid w:val="00034410"/>
    <w:rsid w:val="00061075"/>
    <w:rsid w:val="00064A3D"/>
    <w:rsid w:val="0007163C"/>
    <w:rsid w:val="000764EE"/>
    <w:rsid w:val="000E12BC"/>
    <w:rsid w:val="000E171D"/>
    <w:rsid w:val="000F0993"/>
    <w:rsid w:val="00107566"/>
    <w:rsid w:val="0013785D"/>
    <w:rsid w:val="00143372"/>
    <w:rsid w:val="00163216"/>
    <w:rsid w:val="001A5989"/>
    <w:rsid w:val="001B0E99"/>
    <w:rsid w:val="00242EA0"/>
    <w:rsid w:val="00245F6A"/>
    <w:rsid w:val="002A0AE5"/>
    <w:rsid w:val="002B4514"/>
    <w:rsid w:val="002C13E5"/>
    <w:rsid w:val="002D7958"/>
    <w:rsid w:val="002E5C9D"/>
    <w:rsid w:val="00306AB4"/>
    <w:rsid w:val="00324914"/>
    <w:rsid w:val="003556C8"/>
    <w:rsid w:val="003860FD"/>
    <w:rsid w:val="00387DC8"/>
    <w:rsid w:val="003A29AE"/>
    <w:rsid w:val="003E31DB"/>
    <w:rsid w:val="003E7451"/>
    <w:rsid w:val="0041650D"/>
    <w:rsid w:val="00422CDC"/>
    <w:rsid w:val="00460402"/>
    <w:rsid w:val="00485383"/>
    <w:rsid w:val="004D0A7C"/>
    <w:rsid w:val="00550A9E"/>
    <w:rsid w:val="00557F44"/>
    <w:rsid w:val="00565620"/>
    <w:rsid w:val="005A2684"/>
    <w:rsid w:val="005C709A"/>
    <w:rsid w:val="00603235"/>
    <w:rsid w:val="006254A2"/>
    <w:rsid w:val="006358B4"/>
    <w:rsid w:val="006413E0"/>
    <w:rsid w:val="006460BC"/>
    <w:rsid w:val="00675D1F"/>
    <w:rsid w:val="00676ABF"/>
    <w:rsid w:val="006A3907"/>
    <w:rsid w:val="006F6209"/>
    <w:rsid w:val="007145B8"/>
    <w:rsid w:val="00783D6D"/>
    <w:rsid w:val="00784107"/>
    <w:rsid w:val="007921BF"/>
    <w:rsid w:val="007A26DA"/>
    <w:rsid w:val="007D4D07"/>
    <w:rsid w:val="007E42E2"/>
    <w:rsid w:val="008155BC"/>
    <w:rsid w:val="00853C6C"/>
    <w:rsid w:val="008552CF"/>
    <w:rsid w:val="00855EDA"/>
    <w:rsid w:val="00881EB8"/>
    <w:rsid w:val="008A0BF1"/>
    <w:rsid w:val="008A1E62"/>
    <w:rsid w:val="008B169B"/>
    <w:rsid w:val="008E64AA"/>
    <w:rsid w:val="00906B19"/>
    <w:rsid w:val="00926400"/>
    <w:rsid w:val="00951691"/>
    <w:rsid w:val="009602DB"/>
    <w:rsid w:val="00971334"/>
    <w:rsid w:val="009758BE"/>
    <w:rsid w:val="00976510"/>
    <w:rsid w:val="00977D32"/>
    <w:rsid w:val="00992F3B"/>
    <w:rsid w:val="009A10FD"/>
    <w:rsid w:val="009A5047"/>
    <w:rsid w:val="009F0137"/>
    <w:rsid w:val="009F581A"/>
    <w:rsid w:val="00A06FBB"/>
    <w:rsid w:val="00A1149D"/>
    <w:rsid w:val="00A13BC6"/>
    <w:rsid w:val="00A1444D"/>
    <w:rsid w:val="00A26F9D"/>
    <w:rsid w:val="00A46194"/>
    <w:rsid w:val="00A548FF"/>
    <w:rsid w:val="00AA034A"/>
    <w:rsid w:val="00AD1893"/>
    <w:rsid w:val="00AE4C5F"/>
    <w:rsid w:val="00AF6A49"/>
    <w:rsid w:val="00B01845"/>
    <w:rsid w:val="00B37E6D"/>
    <w:rsid w:val="00B5416F"/>
    <w:rsid w:val="00B56564"/>
    <w:rsid w:val="00BA5425"/>
    <w:rsid w:val="00BA590C"/>
    <w:rsid w:val="00BC3D1F"/>
    <w:rsid w:val="00BF3EFD"/>
    <w:rsid w:val="00C2547C"/>
    <w:rsid w:val="00C33800"/>
    <w:rsid w:val="00C40A4F"/>
    <w:rsid w:val="00C667C4"/>
    <w:rsid w:val="00CC2C57"/>
    <w:rsid w:val="00CC2F11"/>
    <w:rsid w:val="00CE0FE6"/>
    <w:rsid w:val="00CF1566"/>
    <w:rsid w:val="00D1766D"/>
    <w:rsid w:val="00D3059F"/>
    <w:rsid w:val="00D41C18"/>
    <w:rsid w:val="00D567F6"/>
    <w:rsid w:val="00D77DB8"/>
    <w:rsid w:val="00D9605D"/>
    <w:rsid w:val="00DC2A41"/>
    <w:rsid w:val="00DD67D1"/>
    <w:rsid w:val="00DE57BF"/>
    <w:rsid w:val="00E12649"/>
    <w:rsid w:val="00E1365C"/>
    <w:rsid w:val="00E27F05"/>
    <w:rsid w:val="00E30176"/>
    <w:rsid w:val="00E447C5"/>
    <w:rsid w:val="00E6650F"/>
    <w:rsid w:val="00E846C5"/>
    <w:rsid w:val="00E87B29"/>
    <w:rsid w:val="00ED1F0C"/>
    <w:rsid w:val="00EE4DDF"/>
    <w:rsid w:val="00F04424"/>
    <w:rsid w:val="00F16AF3"/>
    <w:rsid w:val="00F23718"/>
    <w:rsid w:val="00F24691"/>
    <w:rsid w:val="00F7618E"/>
    <w:rsid w:val="00F963D4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4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ОАиБ</cp:lastModifiedBy>
  <cp:revision>2</cp:revision>
  <dcterms:created xsi:type="dcterms:W3CDTF">2021-07-21T10:33:00Z</dcterms:created>
  <dcterms:modified xsi:type="dcterms:W3CDTF">2021-07-21T10:33:00Z</dcterms:modified>
</cp:coreProperties>
</file>